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BOARD OF PUBLIC WORKS AND SAFETY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TUESDAY, NOVEMBER 12, 2019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AT 9 AM</w:t>
      </w:r>
    </w:p>
    <w:p w:rsidR="00B80889" w:rsidRDefault="00B80889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B80889" w:rsidRPr="00B80889" w:rsidRDefault="00B80889" w:rsidP="00B80889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Members present Jonathan Stinson, James Trimble, Cary Sparks and Bob All; Roland Shelton was absent.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OLD BUSINESS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1.Approve Minutes from Board of Public Works and Safety Meeting October 28, 2019</w:t>
      </w:r>
    </w:p>
    <w:p w:rsidR="00992F4F" w:rsidRDefault="00B80889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 xml:space="preserve">Bob All made a motion to approve; this was seconded by Cary Sparks and </w:t>
      </w:r>
      <w:r w:rsidR="00505717">
        <w:rPr>
          <w:color w:val="632423" w:themeColor="accent2" w:themeShade="80"/>
        </w:rPr>
        <w:t>a</w:t>
      </w:r>
      <w:r>
        <w:rPr>
          <w:color w:val="632423" w:themeColor="accent2" w:themeShade="80"/>
        </w:rPr>
        <w:t>pproved by the Board.</w:t>
      </w:r>
    </w:p>
    <w:p w:rsidR="00B80889" w:rsidRPr="00B80889" w:rsidRDefault="00B80889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2.Open Request for Qualifications – TOWING ROTATION</w:t>
      </w:r>
    </w:p>
    <w:p w:rsidR="00992F4F" w:rsidRDefault="00B80889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The following companies returned signed qualifications:</w:t>
      </w:r>
    </w:p>
    <w:p w:rsidR="00B80889" w:rsidRDefault="00B80889" w:rsidP="00B80889">
      <w:pPr>
        <w:pStyle w:val="ListParagraph"/>
        <w:numPr>
          <w:ilvl w:val="0"/>
          <w:numId w:val="1"/>
        </w:num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Keller Logistics dba Durr’s Towing/AAA Towing</w:t>
      </w:r>
    </w:p>
    <w:p w:rsidR="00B80889" w:rsidRDefault="00B80889" w:rsidP="00B80889">
      <w:pPr>
        <w:pStyle w:val="ListParagraph"/>
        <w:numPr>
          <w:ilvl w:val="0"/>
          <w:numId w:val="1"/>
        </w:num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Chuck’s Towing &amp; Recovery</w:t>
      </w:r>
    </w:p>
    <w:p w:rsidR="00B80889" w:rsidRDefault="00B80889" w:rsidP="00B80889">
      <w:pPr>
        <w:pStyle w:val="ListParagraph"/>
        <w:numPr>
          <w:ilvl w:val="0"/>
          <w:numId w:val="1"/>
        </w:num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Absolute Towing and Recovery</w:t>
      </w:r>
    </w:p>
    <w:p w:rsidR="00B80889" w:rsidRDefault="00B80889" w:rsidP="00B80889">
      <w:pPr>
        <w:pStyle w:val="ListParagraph"/>
        <w:numPr>
          <w:ilvl w:val="0"/>
          <w:numId w:val="1"/>
        </w:num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Mikes Auto Wrecking</w:t>
      </w:r>
    </w:p>
    <w:p w:rsidR="00B80889" w:rsidRDefault="00B80889" w:rsidP="00B80889">
      <w:pPr>
        <w:pStyle w:val="ListParagraph"/>
        <w:numPr>
          <w:ilvl w:val="0"/>
          <w:numId w:val="1"/>
        </w:num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Peffley &amp; Hinshaw Wrecker Service</w:t>
      </w:r>
    </w:p>
    <w:p w:rsidR="00B80889" w:rsidRDefault="00B80889" w:rsidP="00B80889">
      <w:pPr>
        <w:pStyle w:val="ListParagraph"/>
        <w:numPr>
          <w:ilvl w:val="0"/>
          <w:numId w:val="1"/>
        </w:num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Gills’ Towing and Recovery</w:t>
      </w:r>
    </w:p>
    <w:p w:rsidR="00B80889" w:rsidRPr="00B80889" w:rsidRDefault="00B80889" w:rsidP="00B80889">
      <w:pPr>
        <w:spacing w:line="240" w:lineRule="auto"/>
        <w:rPr>
          <w:color w:val="632423" w:themeColor="accent2" w:themeShade="80"/>
        </w:rPr>
      </w:pPr>
      <w:r>
        <w:rPr>
          <w:color w:val="632423" w:themeColor="accent2" w:themeShade="80"/>
        </w:rPr>
        <w:t>James Trimble made a motion to take under advisement; this was seconded by Cary Sparks and approved by the Board.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NEW BUSINESS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1.Request from Terre Haute Police Department to Purchase 22 new vehicles off the State QPA Bid</w:t>
      </w:r>
    </w:p>
    <w:p w:rsidR="00992F4F" w:rsidRDefault="00B80889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The Terre Haute Police Department requests Board of Public Works approval for the purchase of twenty-two (22) new vehicles for use in their Patrol and Investigations Division, as direct replacements for aging vehicles currently utilized by the department, varying in age from 10 -14 years old, which are nearing or have passed their mechanically reliable li</w:t>
      </w:r>
      <w:r w:rsidR="00D33D7B">
        <w:rPr>
          <w:color w:val="632423" w:themeColor="accent2" w:themeShade="80"/>
        </w:rPr>
        <w:t>fe. These vehicles will be purchase</w:t>
      </w:r>
      <w:r w:rsidR="00505717">
        <w:rPr>
          <w:color w:val="632423" w:themeColor="accent2" w:themeShade="80"/>
        </w:rPr>
        <w:t>d</w:t>
      </w:r>
      <w:r w:rsidR="00D33D7B">
        <w:rPr>
          <w:color w:val="632423" w:themeColor="accent2" w:themeShade="80"/>
        </w:rPr>
        <w:t xml:space="preserve"> on Indiana State QPA Bid Pricing through Fletcher Chrysler, Dodge, Jeep, Ra</w:t>
      </w:r>
      <w:r w:rsidR="00505717">
        <w:rPr>
          <w:color w:val="632423" w:themeColor="accent2" w:themeShade="80"/>
        </w:rPr>
        <w:t>m</w:t>
      </w:r>
      <w:r w:rsidR="00D33D7B">
        <w:rPr>
          <w:color w:val="632423" w:themeColor="accent2" w:themeShade="80"/>
        </w:rPr>
        <w:t xml:space="preserve"> in Franklin, Indiana.  Total purchase price is $501,641.00 and purchased utilizing 2020 budgeted funds.  It is their intention to seek financing for the purchase of 16 of these vehicles within 30 days of anticipated delive</w:t>
      </w:r>
      <w:r w:rsidR="00505717">
        <w:rPr>
          <w:color w:val="632423" w:themeColor="accent2" w:themeShade="80"/>
        </w:rPr>
        <w:t>ry, and purchase the remaining 6</w:t>
      </w:r>
      <w:bookmarkStart w:id="0" w:name="_GoBack"/>
      <w:bookmarkEnd w:id="0"/>
      <w:r w:rsidR="00D33D7B">
        <w:rPr>
          <w:color w:val="632423" w:themeColor="accent2" w:themeShade="80"/>
        </w:rPr>
        <w:t xml:space="preserve"> outright with funds budgeted for 2020.   Cary Sparks asked how many vehicles are in the </w:t>
      </w:r>
      <w:r w:rsidR="00092DE8">
        <w:rPr>
          <w:color w:val="632423" w:themeColor="accent2" w:themeShade="80"/>
        </w:rPr>
        <w:t>fleet and the Board was informed around 140 including training vehicles, there are 113 assigned to individuals.  Bob All made a motion to approve; this was seconded by James Trimble and approved by the Board.</w:t>
      </w:r>
    </w:p>
    <w:p w:rsidR="00092DE8" w:rsidRPr="00B80889" w:rsidRDefault="00092DE8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2.Collection Referral Authorization</w:t>
      </w:r>
    </w:p>
    <w:p w:rsidR="00992F4F" w:rsidRDefault="00092DE8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Cary Sparks made a motion to approve; this was seconded by Bob All and approved by the Board.</w:t>
      </w:r>
    </w:p>
    <w:p w:rsidR="00092DE8" w:rsidRPr="00092DE8" w:rsidRDefault="00092DE8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3.Grass Mowing Lien Certifications</w:t>
      </w:r>
    </w:p>
    <w:p w:rsidR="00992F4F" w:rsidRDefault="00092DE8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James Trimble made a motion to approve; this was seconded by Cary Sparks and approved by the Board.</w:t>
      </w:r>
    </w:p>
    <w:p w:rsidR="00092DE8" w:rsidRPr="00092DE8" w:rsidRDefault="00092DE8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4.Request for Hardship</w:t>
      </w:r>
    </w:p>
    <w:p w:rsidR="00992F4F" w:rsidRDefault="00092DE8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Bob All made a motion to deny; this was seconded by Cary Sparks and denied by the Board.</w:t>
      </w:r>
    </w:p>
    <w:p w:rsidR="00092DE8" w:rsidRPr="00092DE8" w:rsidRDefault="00092DE8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5.Application for Brownfields Assessment Grant</w:t>
      </w:r>
    </w:p>
    <w:p w:rsidR="00092DE8" w:rsidRPr="00092DE8" w:rsidRDefault="00092DE8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 xml:space="preserve">The Department of Engineering informed </w:t>
      </w:r>
      <w:r w:rsidR="00CF1056">
        <w:rPr>
          <w:color w:val="632423" w:themeColor="accent2" w:themeShade="80"/>
        </w:rPr>
        <w:t>the Board this as application to US EPA for a combined $300,000 hazardous substances/petroleum Brownfields Community-Wide Assessment Grant.  James Trimble made a motion to approve; this was seconded by Cary Sparks and approved by the Board.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6.Payroll</w:t>
      </w:r>
    </w:p>
    <w:p w:rsidR="00992F4F" w:rsidRDefault="00CF1056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Cary Sparks made a motion to certify the payroll registers based on the recommendation of the Department Heads and the City Controller subject to the appropriation of funds; this was seconded by James Trimble and approved by the Board.</w:t>
      </w:r>
    </w:p>
    <w:p w:rsidR="00CF1056" w:rsidRPr="00CF1056" w:rsidRDefault="00CF1056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7.PO Registers</w:t>
      </w:r>
    </w:p>
    <w:p w:rsidR="00992F4F" w:rsidRDefault="00CF1056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Cary Sparks made a motion to certify the payroll registers based on the recommendation of the Department Heads and the City Controller subject to the appropriation of funds; this was seconded by Bob All and approved by the Board.</w:t>
      </w:r>
    </w:p>
    <w:p w:rsidR="00CF1056" w:rsidRPr="00CF1056" w:rsidRDefault="00CF1056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8.Request for Handicap Parking – 2250 Garfield</w:t>
      </w:r>
    </w:p>
    <w:p w:rsidR="00992F4F" w:rsidRDefault="00CF1056" w:rsidP="00992F4F">
      <w:pPr>
        <w:spacing w:line="240" w:lineRule="auto"/>
        <w:contextualSpacing/>
        <w:rPr>
          <w:color w:val="632423" w:themeColor="accent2" w:themeShade="80"/>
        </w:rPr>
      </w:pPr>
      <w:r>
        <w:rPr>
          <w:color w:val="632423" w:themeColor="accent2" w:themeShade="80"/>
        </w:rPr>
        <w:t>Based on a recommendation from the Department of Engineering that this residence has a garage Cary Sparks made a motion to deny;</w:t>
      </w:r>
      <w:r w:rsidR="00042872">
        <w:rPr>
          <w:color w:val="632423" w:themeColor="accent2" w:themeShade="80"/>
        </w:rPr>
        <w:t xml:space="preserve"> this was seconded by Bob All and denied by the Board.</w:t>
      </w:r>
    </w:p>
    <w:p w:rsidR="00042872" w:rsidRPr="00CF1056" w:rsidRDefault="00042872" w:rsidP="00992F4F">
      <w:pPr>
        <w:spacing w:line="240" w:lineRule="auto"/>
        <w:contextualSpacing/>
        <w:rPr>
          <w:color w:val="632423" w:themeColor="accent2" w:themeShade="80"/>
        </w:rPr>
      </w:pPr>
    </w:p>
    <w:p w:rsidR="00992F4F" w:rsidRDefault="00505717" w:rsidP="00042872">
      <w:pPr>
        <w:spacing w:line="240" w:lineRule="auto"/>
        <w:contextualSpacing/>
      </w:pPr>
      <w:r>
        <w:t>There being no further business Bob All made a motion to adjourn; this was seconded by James Trimble and approved by the Board.</w:t>
      </w:r>
    </w:p>
    <w:p w:rsidR="00505717" w:rsidRDefault="00505717" w:rsidP="00042872">
      <w:pPr>
        <w:spacing w:line="240" w:lineRule="auto"/>
        <w:contextualSpacing/>
      </w:pPr>
    </w:p>
    <w:p w:rsidR="00505717" w:rsidRDefault="00505717" w:rsidP="00042872">
      <w:pPr>
        <w:spacing w:line="240" w:lineRule="auto"/>
        <w:contextualSpacing/>
      </w:pPr>
    </w:p>
    <w:p w:rsidR="00505717" w:rsidRDefault="00505717" w:rsidP="00042872">
      <w:pPr>
        <w:spacing w:line="240" w:lineRule="auto"/>
        <w:contextualSpacing/>
      </w:pPr>
    </w:p>
    <w:p w:rsidR="00505717" w:rsidRDefault="00505717" w:rsidP="00042872">
      <w:pPr>
        <w:spacing w:line="240" w:lineRule="auto"/>
        <w:contextualSpacing/>
      </w:pPr>
    </w:p>
    <w:p w:rsidR="00505717" w:rsidRDefault="00505717" w:rsidP="00042872">
      <w:pPr>
        <w:spacing w:line="240" w:lineRule="auto"/>
        <w:contextualSpacing/>
      </w:pPr>
      <w:r>
        <w:t>Robin A Drummy, Administrator</w:t>
      </w:r>
    </w:p>
    <w:p w:rsidR="00505717" w:rsidRDefault="00505717" w:rsidP="00042872">
      <w:pPr>
        <w:spacing w:line="240" w:lineRule="auto"/>
        <w:contextualSpacing/>
      </w:pPr>
    </w:p>
    <w:p w:rsidR="00505717" w:rsidRDefault="00505717" w:rsidP="00042872">
      <w:pPr>
        <w:spacing w:line="240" w:lineRule="auto"/>
        <w:contextualSpacing/>
      </w:pPr>
    </w:p>
    <w:p w:rsidR="00505717" w:rsidRDefault="00505717" w:rsidP="00042872">
      <w:pPr>
        <w:spacing w:line="240" w:lineRule="auto"/>
        <w:contextualSpacing/>
        <w:rPr>
          <w:b/>
        </w:rPr>
      </w:pPr>
      <w:r>
        <w:rPr>
          <w:b/>
        </w:rPr>
        <w:t>NEXT MEETING OF THE BOARD OF PUBLIC WORKS AND SAFETY IS MONDAY, NOVEMBER 25</w:t>
      </w:r>
      <w:r w:rsidRPr="00505717">
        <w:rPr>
          <w:b/>
          <w:vertAlign w:val="superscript"/>
        </w:rPr>
        <w:t>TH</w:t>
      </w:r>
      <w:r>
        <w:rPr>
          <w:b/>
        </w:rPr>
        <w:t xml:space="preserve"> AT 9 AM</w:t>
      </w:r>
    </w:p>
    <w:p w:rsidR="00505717" w:rsidRDefault="00505717" w:rsidP="00042872">
      <w:pPr>
        <w:spacing w:line="240" w:lineRule="auto"/>
        <w:contextualSpacing/>
        <w:rPr>
          <w:b/>
        </w:rPr>
      </w:pPr>
    </w:p>
    <w:p w:rsidR="00505717" w:rsidRPr="00505717" w:rsidRDefault="00505717" w:rsidP="00042872">
      <w:pPr>
        <w:spacing w:line="240" w:lineRule="auto"/>
        <w:contextualSpacing/>
        <w:rPr>
          <w:b/>
        </w:rPr>
      </w:pPr>
    </w:p>
    <w:p w:rsidR="009E05BE" w:rsidRPr="00992F4F" w:rsidRDefault="00AC1B87" w:rsidP="00AC1B87">
      <w:pPr>
        <w:spacing w:line="240" w:lineRule="auto"/>
        <w:contextualSpacing/>
        <w:jc w:val="center"/>
        <w:rPr>
          <w:color w:val="E36C0A" w:themeColor="accent6" w:themeShade="BF"/>
        </w:rPr>
      </w:pPr>
      <w:r w:rsidRPr="00992F4F">
        <w:rPr>
          <w:color w:val="E36C0A" w:themeColor="accent6" w:themeShade="BF"/>
        </w:rPr>
        <w:t xml:space="preserve">Any individual who requires an auxiliary aid or service for effective communication, or a </w:t>
      </w:r>
      <w:r w:rsidR="00DD1274" w:rsidRPr="00992F4F">
        <w:rPr>
          <w:color w:val="E36C0A" w:themeColor="accent6" w:themeShade="BF"/>
        </w:rPr>
        <w:t>modification of</w:t>
      </w:r>
      <w:r w:rsidRPr="00992F4F">
        <w:rPr>
          <w:color w:val="E36C0A" w:themeColor="accent6" w:themeShade="BF"/>
        </w:rPr>
        <w:t xml:space="preserve"> policies or procedures to participate in a public meeting, program, service, or activity of the City of Terre Haute, IN contact</w:t>
      </w:r>
      <w:r w:rsidR="00000060" w:rsidRPr="00992F4F">
        <w:rPr>
          <w:color w:val="E36C0A" w:themeColor="accent6" w:themeShade="BF"/>
        </w:rPr>
        <w:t xml:space="preserve"> City of Terre Haute Human Relations office at 812-244-5611</w:t>
      </w:r>
      <w:r w:rsidRPr="00992F4F">
        <w:rPr>
          <w:color w:val="E36C0A" w:themeColor="accent6" w:themeShade="BF"/>
        </w:rPr>
        <w:t>, as soon as possible, but no later than 48 hours before the scheduled event.</w:t>
      </w:r>
    </w:p>
    <w:sectPr w:rsidR="009E05BE" w:rsidRPr="00992F4F" w:rsidSect="009E0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2FAA"/>
    <w:multiLevelType w:val="hybridMultilevel"/>
    <w:tmpl w:val="B4E09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87"/>
    <w:rsid w:val="00000060"/>
    <w:rsid w:val="00042872"/>
    <w:rsid w:val="00092DE8"/>
    <w:rsid w:val="00505717"/>
    <w:rsid w:val="0077584F"/>
    <w:rsid w:val="00900A74"/>
    <w:rsid w:val="00992F4F"/>
    <w:rsid w:val="009A6140"/>
    <w:rsid w:val="009E05BE"/>
    <w:rsid w:val="00AC1B87"/>
    <w:rsid w:val="00B80889"/>
    <w:rsid w:val="00CF1056"/>
    <w:rsid w:val="00D33D7B"/>
    <w:rsid w:val="00DD1274"/>
    <w:rsid w:val="00F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1156"/>
  <w15:docId w15:val="{9D66CA19-BFC2-478A-BD0D-D33D665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Test.com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cty0001bow</dc:creator>
  <cp:lastModifiedBy>Drummy, Robin</cp:lastModifiedBy>
  <cp:revision>4</cp:revision>
  <cp:lastPrinted>2019-11-12T19:36:00Z</cp:lastPrinted>
  <dcterms:created xsi:type="dcterms:W3CDTF">2019-11-06T15:20:00Z</dcterms:created>
  <dcterms:modified xsi:type="dcterms:W3CDTF">2019-11-12T19:40:00Z</dcterms:modified>
</cp:coreProperties>
</file>